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7758304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:rsidR="007E132F" w:rsidRDefault="007E132F">
          <w:r>
            <w:rPr>
              <w:noProof/>
            </w:rPr>
            <w:pict>
              <v:rect id="_x0000_s1037" style="position:absolute;margin-left:0;margin-top:198.65pt;width:534.75pt;height:50.4pt;z-index:251665408;mso-width-percent:900;mso-height-percent:73;mso-top-percent:250;mso-position-horizontal:left;mso-position-horizontal-relative:page;mso-position-vertical-relative:page;mso-width-percent:900;mso-height-percent:73;mso-top-percent:250;v-text-anchor:middle" o:allowincell="f" fillcolor="#5b9bd5 [3204]" strokecolor="white [3212]" strokeweight="1pt">
                <v:fill color2="#2e74b5 [2404]"/>
                <v:shadow color="#d8d8d8 [2732]" offset="3pt,3pt" offset2="2pt,2pt"/>
                <v:textbox style="mso-next-textbox:#_x0000_s1037;mso-fit-shape-to-text:t" inset="14.4pt,,14.4pt"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72"/>
                          <w:szCs w:val="72"/>
                        </w:rPr>
                        <w:alias w:val="Título"/>
                        <w:id w:val="103676091"/>
                        <w:placeholder>
                          <w:docPart w:val="81A5C1D6663D4DFE9D7E2E9DA4F5F4BB"/>
                        </w:placeholder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7E132F" w:rsidRDefault="007E132F">
                          <w:pPr>
                            <w:pStyle w:val="SemEspaamento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>PLANO MUNICIPAL DE VACINAÇÃO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w:r>
          <w:r>
            <w:rPr>
              <w:noProof/>
            </w:rPr>
            <w:pict>
              <v:group id="_x0000_s1031" style="position:absolute;margin-left:1498.15pt;margin-top:0;width:238.15pt;height:841.95pt;z-index:251663360;mso-width-percent:400;mso-height-percent:1000;mso-position-horizontal:right;mso-position-horizontal-relative:page;mso-position-vertical:top;mso-position-vertical-relative:page;mso-width-percent:400;mso-height-percent:1000" coordorigin="7329" coordsize="4911,15840" o:allowincell="f">
                <v:group id="_x0000_s1032" style="position:absolute;left:7344;width:4896;height:15840;mso-width-percent:400;mso-height-percent:1000;mso-position-horizontal:right;mso-position-horizontal-relative:page;mso-position-vertical:top;mso-position-vertical-relative:page;mso-width-percent:400;mso-height-percent:1000" coordorigin="7560" coordsize="4700,15840" o:allowincell="f">
                  <v:rect id="_x0000_s1033" style="position:absolute;left:7755;width:4505;height:15840;mso-height-percent:1000;mso-position-vertical:top;mso-position-vertical-relative:page;mso-height-percent:1000" fillcolor="#a5a5a5 [3206]" stroked="f" strokecolor="#d8d8d8 [2732]">
                    <v:fill color2="#bfbfbf [2412]" rotate="t"/>
                  </v:rect>
                  <v:rect id="_x0000_s1034" style="position:absolute;left:7560;top:8;width:195;height:15825;mso-height-percent:1000;mso-position-vertical-relative:page;mso-height-percent:1000;mso-width-relative:margin;v-text-anchor:middle" fillcolor="#a5a5a5 [3206]" stroked="f" strokecolor="white [3212]" strokeweight="1pt">
                    <v:fill r:id="rId8" o:title="Light vertical" opacity="52429f" o:opacity2="52429f" type="pattern"/>
                    <v:shadow color="#d8d8d8 [2732]" offset="3pt,3pt" offset2="2pt,2pt"/>
                  </v:rect>
                </v:group>
                <v:rect id="_x0000_s1035" style="position:absolute;left:7344;width:4896;height:3958;mso-width-percent:400;mso-height-percent:250;mso-position-horizontal:right;mso-position-horizontal-relative:page;mso-position-vertical:top;mso-position-vertical-relative:page;mso-width-percent:400;mso-height-percent:25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35" inset="28.8pt,14.4pt,14.4pt,14.4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  <w:alias w:val="Ano"/>
                          <w:id w:val="103676087"/>
                          <w:placeholder>
                            <w:docPart w:val="A08F717E60BF4DB0A6AF57D2E253E035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1-08-23T00:00:00Z">
                            <w:dateFormat w:val="yyyy"/>
                            <w:lid w:val="pt-BR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7E132F" w:rsidRDefault="007E132F">
                            <w:pPr>
                              <w:pStyle w:val="SemEspaamento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2021</w:t>
                            </w:r>
                          </w:p>
                        </w:sdtContent>
                      </w:sdt>
                    </w:txbxContent>
                  </v:textbox>
                </v:rect>
                <v:rect id="_x0000_s1036" style="position:absolute;left:7329;top:10658;width:4889;height:4462;mso-width-percent:400;mso-position-horizontal-relative:page;mso-position-vertical-relative:margin;mso-width-percent:40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36" inset="28.8pt,14.4pt,14.4pt,14.4pt">
                    <w:txbxContent>
                      <w:p w:rsidR="007E132F" w:rsidRDefault="007E132F">
                        <w:pPr>
                          <w:pStyle w:val="SemEspaamento"/>
                          <w:spacing w:line="360" w:lineRule="auto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Caroline Citoula Paim</w:t>
                        </w:r>
                      </w:p>
                      <w:sdt>
                        <w:sdtPr>
                          <w:rPr>
                            <w:color w:val="FFFFFF" w:themeColor="background1"/>
                          </w:rPr>
                          <w:alias w:val="Empresa"/>
                          <w:id w:val="103676099"/>
                          <w:placeholder>
                            <w:docPart w:val="D104150CF6C3414AAF48065AFDCEE432"/>
                          </w:placeholder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p w:rsidR="005543FD" w:rsidRDefault="005543FD" w:rsidP="005543FD">
                            <w:pPr>
                              <w:pStyle w:val="SemEspaamento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Coordenadora Atenção Basica</w:t>
                            </w:r>
                          </w:p>
                        </w:sdtContent>
                      </w:sdt>
                      <w:p w:rsidR="005543FD" w:rsidRDefault="005543FD">
                        <w:pPr>
                          <w:pStyle w:val="SemEspaamento"/>
                          <w:spacing w:line="360" w:lineRule="auto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Citnia Ariane Barboza de Ayres</w:t>
                        </w:r>
                      </w:p>
                      <w:p w:rsidR="005543FD" w:rsidRDefault="005543FD">
                        <w:pPr>
                          <w:pStyle w:val="SemEspaamento"/>
                          <w:spacing w:line="360" w:lineRule="auto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color w:val="FFFFFF" w:themeColor="background1"/>
                          </w:rPr>
                          <w:t>Secretaria Municipal de Saúde</w:t>
                        </w:r>
                      </w:p>
                      <w:p w:rsidR="007E132F" w:rsidRDefault="007E132F">
                        <w:pPr>
                          <w:pStyle w:val="SemEspaamento"/>
                          <w:spacing w:line="360" w:lineRule="auto"/>
                          <w:rPr>
                            <w:color w:val="FFFFFF" w:themeColor="background1"/>
                          </w:rPr>
                        </w:pPr>
                      </w:p>
                      <w:sdt>
                        <w:sdtPr>
                          <w:rPr>
                            <w:color w:val="FFFFFF" w:themeColor="background1"/>
                          </w:rPr>
                          <w:alias w:val="Data"/>
                          <w:id w:val="103676103"/>
                          <w:placeholder>
                            <w:docPart w:val="084FFAD7829E413B82C4DAC42F8DC127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1-08-23T00:00:00Z">
                            <w:dateFormat w:val="dd/MM/yyyy"/>
                            <w:lid w:val="pt-BR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7E132F" w:rsidRDefault="005543FD">
                            <w:pPr>
                              <w:pStyle w:val="SemEspaamento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23/08/2021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</w:p>
        <w:p w:rsidR="007E132F" w:rsidRDefault="007E132F">
          <w:pPr>
            <w:rPr>
              <w:rFonts w:ascii="Times New Roman" w:hAnsi="Times New Roman" w:cs="Times New Roman"/>
              <w:sz w:val="24"/>
              <w:szCs w:val="24"/>
            </w:rPr>
          </w:pPr>
          <w:r w:rsidRPr="007E132F">
            <w:rPr>
              <w:rFonts w:ascii="Times New Roman" w:hAnsi="Times New Roman" w:cs="Times New Roman"/>
              <w:noProof/>
              <w:sz w:val="24"/>
              <w:szCs w:val="24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-22.15pt;margin-top:222.8pt;width:351.75pt;height:210.6pt;z-index:251667456;mso-width-relative:margin;mso-height-relative:margin" stroked="f">
                <v:textbox>
                  <w:txbxContent>
                    <w:p w:rsidR="007E132F" w:rsidRDefault="007E132F">
                      <w:r w:rsidRPr="007E132F">
                        <w:drawing>
                          <wp:inline distT="0" distB="0" distL="0" distR="0">
                            <wp:extent cx="4742180" cy="2586644"/>
                            <wp:effectExtent l="19050" t="0" r="1270" b="0"/>
                            <wp:docPr id="7" name="Imagem 2" descr="maior_reuters_vacina_covid_19_1500_16122020100703648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aior_reuters_vacina_covid_19_1500_16122020100703648.jpe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43734" cy="2587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w: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:rsidR="00AB1BC1" w:rsidRDefault="00AB1BC1" w:rsidP="005A7CE4">
      <w:r>
        <w:lastRenderedPageBreak/>
        <w:t xml:space="preserve">PREFEITO DE SÃO MARTINHO DA SERRA </w:t>
      </w:r>
    </w:p>
    <w:p w:rsidR="00AB1BC1" w:rsidRDefault="00AB1BC1" w:rsidP="005A7CE4">
      <w:r>
        <w:t>Robson Flores da Trindade</w:t>
      </w:r>
    </w:p>
    <w:p w:rsidR="00AB1BC1" w:rsidRDefault="00AB1BC1" w:rsidP="005A7CE4">
      <w:r>
        <w:t xml:space="preserve">SECRETÁRIO MUNICIPAL DE SAÚDE DE SÃO MARTINHO DA SERRA </w:t>
      </w:r>
    </w:p>
    <w:p w:rsidR="00AB1BC1" w:rsidRDefault="00AB1BC1" w:rsidP="005A7CE4">
      <w:r>
        <w:t>Cintia Ariane Barboza de Ayres</w:t>
      </w:r>
    </w:p>
    <w:p w:rsidR="00AB1BC1" w:rsidRDefault="00AB1BC1" w:rsidP="005A7CE4">
      <w:r>
        <w:t xml:space="preserve"> ENFERMEIRA COORDENADORA DA ATENÇÃO BÁSICA</w:t>
      </w: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  <w:r>
        <w:t>Caroline Citoula Paim</w:t>
      </w: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AB1BC1">
      <w:pPr>
        <w:widowControl w:val="0"/>
        <w:spacing w:after="0" w:line="360" w:lineRule="auto"/>
      </w:pPr>
      <w:r>
        <w:lastRenderedPageBreak/>
        <w:t xml:space="preserve">SUMÁRIO </w:t>
      </w:r>
    </w:p>
    <w:p w:rsidR="00AB1BC1" w:rsidRDefault="00AB1BC1" w:rsidP="00AB1BC1">
      <w:pPr>
        <w:widowControl w:val="0"/>
        <w:spacing w:after="0" w:line="360" w:lineRule="auto"/>
      </w:pPr>
      <w:r>
        <w:t xml:space="preserve">APRESENTAÇÃO..............................................................................................................................4 INTRODUÇÃO..................................................................................................................................5 </w:t>
      </w:r>
    </w:p>
    <w:p w:rsidR="00AB1BC1" w:rsidRDefault="00AB1BC1" w:rsidP="00AB1BC1">
      <w:pPr>
        <w:widowControl w:val="0"/>
        <w:spacing w:after="0" w:line="360" w:lineRule="auto"/>
      </w:pPr>
      <w:r>
        <w:t xml:space="preserve">OBJETIVO DA VACINAÇÃO...............................................................................................................7 </w:t>
      </w:r>
    </w:p>
    <w:p w:rsidR="00AB1BC1" w:rsidRDefault="00AB1BC1" w:rsidP="00AB1BC1">
      <w:pPr>
        <w:widowControl w:val="0"/>
        <w:spacing w:after="0" w:line="360" w:lineRule="auto"/>
      </w:pPr>
      <w:r>
        <w:t xml:space="preserve">OPERACIONALIZAÇÃO DA VACINAÇÃO...........................................................................................8 REFERÊNCIAS...................................................................................................................................9 </w:t>
      </w:r>
    </w:p>
    <w:p w:rsidR="00AB1BC1" w:rsidRDefault="00AB1BC1" w:rsidP="00AB1BC1">
      <w:pPr>
        <w:widowControl w:val="0"/>
        <w:spacing w:after="0" w:line="360" w:lineRule="auto"/>
      </w:pPr>
      <w:r>
        <w:t xml:space="preserve">ANEXO 1.........................................................................................................................................10 </w:t>
      </w:r>
    </w:p>
    <w:p w:rsidR="00AB1BC1" w:rsidRDefault="00AB1BC1" w:rsidP="00FD3A33">
      <w:r>
        <w:t>ANEXO 2....................................................................................................................................</w:t>
      </w:r>
      <w:r w:rsidR="00E26769">
        <w:t>.....11</w:t>
      </w:r>
    </w:p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/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lastRenderedPageBreak/>
        <w:t xml:space="preserve">APRESENTAÇÃO </w:t>
      </w: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443F2B" w:rsidRDefault="005A7CE4" w:rsidP="00443F2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>O Município de São Martinho da Serra/RS, por meio da Secretaria Municipal de Saúde, apresenta o Plano Municipal de Operacionalização d</w:t>
      </w:r>
      <w:r w:rsidR="00443F2B">
        <w:rPr>
          <w:rFonts w:ascii="Times New Roman" w:hAnsi="Times New Roman" w:cs="Times New Roman"/>
          <w:sz w:val="24"/>
          <w:szCs w:val="24"/>
        </w:rPr>
        <w:t>a Vacinação contra a Covid19 o qual foi baseado n</w:t>
      </w:r>
      <w:r w:rsidRPr="00443F2B">
        <w:rPr>
          <w:rFonts w:ascii="Times New Roman" w:hAnsi="Times New Roman" w:cs="Times New Roman"/>
          <w:sz w:val="24"/>
          <w:szCs w:val="24"/>
        </w:rPr>
        <w:t xml:space="preserve">o Plano Nacional de Operacionalização da Vacinação contra a Covid-19 e </w:t>
      </w:r>
      <w:r w:rsidR="00443F2B">
        <w:rPr>
          <w:rFonts w:ascii="Times New Roman" w:hAnsi="Times New Roman" w:cs="Times New Roman"/>
          <w:sz w:val="24"/>
          <w:szCs w:val="24"/>
        </w:rPr>
        <w:t>n</w:t>
      </w:r>
      <w:r w:rsidRPr="00443F2B">
        <w:rPr>
          <w:rFonts w:ascii="Times New Roman" w:hAnsi="Times New Roman" w:cs="Times New Roman"/>
          <w:sz w:val="24"/>
          <w:szCs w:val="24"/>
        </w:rPr>
        <w:t>o Plano Estadual de Vacinação contra a Covid-19 do Estado do Rio Grande do Sul e tem por objetivo instrumentalizar a operacionalização da Campanha Municipal de Vacinação contra a Covid-19 no Município de São Martinho da Serra/RS. O Plano é uma medida adicional de resposta ao enfrentamento da doença, tida como Emergência de Saúde Pública de Importância Internacional, mediante ações de vacinação. A vacinação contra a Covid-19 teve início em janeiro de 2021, de forma gradual, seguindo os Informes Técnicos e Notas Informativas do Ministério da Saúde e, em conformidade com a disponibilidade de doses da vacina.</w:t>
      </w:r>
      <w:r w:rsidR="00443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1CE" w:rsidRPr="00443F2B" w:rsidRDefault="00443F2B" w:rsidP="00443F2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Vale salientar que pode haver alguma alteração de acordo com as orientações pactuadas em reuniões da Coomissão Intergestores Bipartite (CIB)/RS a qual pode incluir grupos prioritários conforme a necessidade emergente, respeitando as regras contidas nos planos Nacional e Estadual, é pela orientação das pactuações nas CIB, que este município avança nos grupos prioritários, com o objetivo de manter o cenário de evolução do alcance da vacina, proporcional em todo estado. </w:t>
      </w:r>
    </w:p>
    <w:p w:rsidR="005A7CE4" w:rsidRPr="00443F2B" w:rsidRDefault="005A7CE4" w:rsidP="005A7C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7E132F" w:rsidRDefault="007E132F" w:rsidP="005A7CE4">
      <w:pPr>
        <w:rPr>
          <w:rFonts w:ascii="Times New Roman" w:hAnsi="Times New Roman" w:cs="Times New Roman"/>
          <w:sz w:val="24"/>
          <w:szCs w:val="24"/>
        </w:rPr>
      </w:pPr>
    </w:p>
    <w:p w:rsidR="007E132F" w:rsidRDefault="007E132F" w:rsidP="005A7CE4">
      <w:pPr>
        <w:rPr>
          <w:rFonts w:ascii="Times New Roman" w:hAnsi="Times New Roman" w:cs="Times New Roman"/>
          <w:sz w:val="24"/>
          <w:szCs w:val="24"/>
        </w:rPr>
      </w:pPr>
    </w:p>
    <w:p w:rsidR="007E132F" w:rsidRDefault="007E132F" w:rsidP="005A7CE4">
      <w:pPr>
        <w:rPr>
          <w:rFonts w:ascii="Times New Roman" w:hAnsi="Times New Roman" w:cs="Times New Roman"/>
          <w:sz w:val="24"/>
          <w:szCs w:val="24"/>
        </w:rPr>
      </w:pPr>
    </w:p>
    <w:p w:rsidR="007E132F" w:rsidRPr="00443F2B" w:rsidRDefault="007E132F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INTRODUÇÃO </w:t>
      </w:r>
    </w:p>
    <w:p w:rsidR="00DE233B" w:rsidRDefault="005A7CE4" w:rsidP="00443F2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A Covid-19 é a maior pandemia da história recente da humanidade, causada pelo novo Coronavírus (SARS-CoV-2). </w:t>
      </w:r>
      <w:r w:rsidR="00443F2B">
        <w:rPr>
          <w:rFonts w:ascii="Times New Roman" w:hAnsi="Times New Roman" w:cs="Times New Roman"/>
          <w:sz w:val="24"/>
          <w:szCs w:val="24"/>
        </w:rPr>
        <w:t xml:space="preserve">É caracterizada por </w:t>
      </w:r>
      <w:r w:rsidRPr="00443F2B">
        <w:rPr>
          <w:rFonts w:ascii="Times New Roman" w:hAnsi="Times New Roman" w:cs="Times New Roman"/>
          <w:sz w:val="24"/>
          <w:szCs w:val="24"/>
        </w:rPr>
        <w:t xml:space="preserve">uma infecção respiratória aguda potencialmente grave e de </w:t>
      </w:r>
      <w:r w:rsidR="00443F2B" w:rsidRPr="00443F2B">
        <w:rPr>
          <w:rFonts w:ascii="Times New Roman" w:hAnsi="Times New Roman" w:cs="Times New Roman"/>
          <w:sz w:val="24"/>
          <w:szCs w:val="24"/>
        </w:rPr>
        <w:t>d</w:t>
      </w:r>
      <w:r w:rsidR="00443F2B">
        <w:rPr>
          <w:rFonts w:ascii="Times New Roman" w:hAnsi="Times New Roman" w:cs="Times New Roman"/>
          <w:sz w:val="24"/>
          <w:szCs w:val="24"/>
        </w:rPr>
        <w:t>isseminação global, que possui alta</w:t>
      </w:r>
      <w:r w:rsidRPr="00443F2B">
        <w:rPr>
          <w:rFonts w:ascii="Times New Roman" w:hAnsi="Times New Roman" w:cs="Times New Roman"/>
          <w:sz w:val="24"/>
          <w:szCs w:val="24"/>
        </w:rPr>
        <w:t xml:space="preserve"> transmissibilidade entre as pessoas por meio de gotículas</w:t>
      </w:r>
      <w:r w:rsidR="00443F2B">
        <w:rPr>
          <w:rFonts w:ascii="Times New Roman" w:hAnsi="Times New Roman" w:cs="Times New Roman"/>
          <w:sz w:val="24"/>
          <w:szCs w:val="24"/>
        </w:rPr>
        <w:t xml:space="preserve"> aerossóis</w:t>
      </w:r>
      <w:r w:rsidRPr="00443F2B">
        <w:rPr>
          <w:rFonts w:ascii="Times New Roman" w:hAnsi="Times New Roman" w:cs="Times New Roman"/>
          <w:sz w:val="24"/>
          <w:szCs w:val="24"/>
        </w:rPr>
        <w:t xml:space="preserve"> ou contato com objetos e superfícies contaminadas. </w:t>
      </w:r>
    </w:p>
    <w:p w:rsidR="005600C2" w:rsidRDefault="00DE233B" w:rsidP="005600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</w:t>
      </w:r>
      <w:r w:rsidR="005A7CE4" w:rsidRPr="00443F2B">
        <w:rPr>
          <w:rFonts w:ascii="Times New Roman" w:hAnsi="Times New Roman" w:cs="Times New Roman"/>
          <w:sz w:val="24"/>
          <w:szCs w:val="24"/>
        </w:rPr>
        <w:t xml:space="preserve"> a Organização Mundial de Saúde (OMS), a pandemia </w:t>
      </w:r>
      <w:r>
        <w:rPr>
          <w:rFonts w:ascii="Times New Roman" w:hAnsi="Times New Roman" w:cs="Times New Roman"/>
          <w:sz w:val="24"/>
          <w:szCs w:val="24"/>
        </w:rPr>
        <w:t>trouxe</w:t>
      </w:r>
      <w:r w:rsidR="005A7CE4" w:rsidRPr="00443F2B">
        <w:rPr>
          <w:rFonts w:ascii="Times New Roman" w:hAnsi="Times New Roman" w:cs="Times New Roman"/>
          <w:sz w:val="24"/>
          <w:szCs w:val="24"/>
        </w:rPr>
        <w:t xml:space="preserve"> impactos </w:t>
      </w:r>
      <w:r>
        <w:rPr>
          <w:rFonts w:ascii="Times New Roman" w:hAnsi="Times New Roman" w:cs="Times New Roman"/>
          <w:sz w:val="24"/>
          <w:szCs w:val="24"/>
        </w:rPr>
        <w:t xml:space="preserve">e  </w:t>
      </w:r>
      <w:r w:rsidR="005A7CE4" w:rsidRPr="00443F2B">
        <w:rPr>
          <w:rFonts w:ascii="Times New Roman" w:hAnsi="Times New Roman" w:cs="Times New Roman"/>
          <w:sz w:val="24"/>
          <w:szCs w:val="24"/>
        </w:rPr>
        <w:t>prejuízos globais de ordem social e econômica, tornando-se o maior desafio de saúde públ</w:t>
      </w:r>
      <w:r>
        <w:rPr>
          <w:rFonts w:ascii="Times New Roman" w:hAnsi="Times New Roman" w:cs="Times New Roman"/>
          <w:sz w:val="24"/>
          <w:szCs w:val="24"/>
        </w:rPr>
        <w:t xml:space="preserve">ica. Ainda,  </w:t>
      </w:r>
      <w:r w:rsidR="005A7CE4" w:rsidRPr="00443F2B">
        <w:rPr>
          <w:rFonts w:ascii="Times New Roman" w:hAnsi="Times New Roman" w:cs="Times New Roman"/>
          <w:sz w:val="24"/>
          <w:szCs w:val="24"/>
        </w:rPr>
        <w:t>a OMS</w:t>
      </w:r>
      <w:r>
        <w:rPr>
          <w:rFonts w:ascii="Times New Roman" w:hAnsi="Times New Roman" w:cs="Times New Roman"/>
          <w:sz w:val="24"/>
          <w:szCs w:val="24"/>
        </w:rPr>
        <w:t xml:space="preserve"> afirma que</w:t>
      </w:r>
      <w:r w:rsidR="005A7CE4" w:rsidRPr="00443F2B">
        <w:rPr>
          <w:rFonts w:ascii="Times New Roman" w:hAnsi="Times New Roman" w:cs="Times New Roman"/>
          <w:sz w:val="24"/>
          <w:szCs w:val="24"/>
        </w:rPr>
        <w:t xml:space="preserve">, cerca de 80% das pessoas com Covid-19 se recupera da doença sem precisar de tratamento hospitalar. </w:t>
      </w:r>
      <w:r>
        <w:rPr>
          <w:rFonts w:ascii="Times New Roman" w:hAnsi="Times New Roman" w:cs="Times New Roman"/>
          <w:sz w:val="24"/>
          <w:szCs w:val="24"/>
        </w:rPr>
        <w:t>Porém</w:t>
      </w:r>
      <w:r w:rsidR="005A7CE4" w:rsidRPr="00443F2B">
        <w:rPr>
          <w:rFonts w:ascii="Times New Roman" w:hAnsi="Times New Roman" w:cs="Times New Roman"/>
          <w:sz w:val="24"/>
          <w:szCs w:val="24"/>
        </w:rPr>
        <w:t xml:space="preserve">, uma em cada seis pessoas infectadas pelo SARS-CoV-2 desenvolvem formas graves da doença. </w:t>
      </w:r>
    </w:p>
    <w:p w:rsidR="005600C2" w:rsidRDefault="005A7CE4" w:rsidP="005600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>Não há uniformidade na ocorrência de Covid-19 na população, sendo identificado, até o momento, que o agravo e óbito estão relacionados especialmente às características sociodemográficas</w:t>
      </w:r>
      <w:r w:rsidR="00DE233B">
        <w:rPr>
          <w:rFonts w:ascii="Times New Roman" w:hAnsi="Times New Roman" w:cs="Times New Roman"/>
          <w:sz w:val="24"/>
          <w:szCs w:val="24"/>
        </w:rPr>
        <w:t xml:space="preserve"> e </w:t>
      </w:r>
      <w:r w:rsidRPr="00443F2B">
        <w:rPr>
          <w:rFonts w:ascii="Times New Roman" w:hAnsi="Times New Roman" w:cs="Times New Roman"/>
          <w:sz w:val="24"/>
          <w:szCs w:val="24"/>
        </w:rPr>
        <w:t>preexistência de comorbidades, tais como: doença renal crônica, doenças cardiovasculares e cerebrovasculares, diabetes mellitus, hipertensão arterial grave, pneumopatias crônicas graves, anemia falciforme, câncer, obesidade mórbida, síndrome de down, imunossupressã</w:t>
      </w:r>
      <w:r w:rsidR="005600C2">
        <w:rPr>
          <w:rFonts w:ascii="Times New Roman" w:hAnsi="Times New Roman" w:cs="Times New Roman"/>
          <w:sz w:val="24"/>
          <w:szCs w:val="24"/>
        </w:rPr>
        <w:t>o; e, idade superior a 60 anos.</w:t>
      </w:r>
    </w:p>
    <w:p w:rsidR="005600C2" w:rsidRDefault="005A7CE4" w:rsidP="005600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No entanto, qualquer pessoa pode se infectar com o vírus da Covid-19 e desenvolver formas graves da doença. Considerando a disponibilidade gradual de oferta de doses da vacina contra a Covid-19, o Ministério da Saúde definiu grupos prioritários para a vacinação. Neste cenário, os grupos de maior risco para agravamento e óbito foram priorizados. Além disso, no contexto pandêmico que se vive, com a grande maioria da população ainda altamente suscetível à infecção pelo vírus, também é prioridade a manutenção do funcionamento da força de trabalho dos serviços de saúde e a manutenção do funcionamento dos serviços essenciais. </w:t>
      </w:r>
    </w:p>
    <w:p w:rsidR="005600C2" w:rsidRDefault="005A7CE4" w:rsidP="005600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De acordo com o Plano Nacional de Operacionalização da Vacinação contra a Covid-19, foram definidos grupos prioritários para dar início a campanha de vacinação, conforme anexos 1 e 2. A Nota Técnica nº 2/2021, do Ministério da Saúde, após avaliação do risco-benefício da vacinação contra a Covid-19, recomenda a vacinação de gestantes e puérperas até 45 dias do pós-parto, a partir de 18 anos, como grupo prioritário independente da presença de fatores de risco adicional. A vacinação desse grupo deverá ser realizada com as vacinas que não contenham vetor viral – Sinovac/Butantan e Pfizer/Wyeth. Ao longo da campanha, poderão ocorrer alterações na sequência de prioridades e/ou subdivisões de alguns estratos populacionais, bem como a inserção de novos grupos, à luz de novas evidências sobre a doença, situação epidemiológica e das vacinas contra a Covid-19. Além disso, a Nota Técnica de nº 717/2021, do Ministério da Saúde, orienta a continuidade da vacinação contra a Covid-19 dos grupos </w:t>
      </w:r>
      <w:r w:rsidRPr="00443F2B">
        <w:rPr>
          <w:rFonts w:ascii="Times New Roman" w:hAnsi="Times New Roman" w:cs="Times New Roman"/>
          <w:sz w:val="24"/>
          <w:szCs w:val="24"/>
        </w:rPr>
        <w:lastRenderedPageBreak/>
        <w:t xml:space="preserve">prioritários elencados no Plano Nacional e início da vacinação da população geral (18 a 59 anos de idade). </w:t>
      </w:r>
    </w:p>
    <w:p w:rsidR="005600C2" w:rsidRDefault="005A7CE4" w:rsidP="005600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Após a finalização dos grupos: pessoas com comorbidades, gestantes e puérperas com comorbidades e pessoas com deficiência permanente, pessoas em situação de rua, funcionários do Sistema de Privação de Liberdade e população privada de liberdade; e trabalhadores da educação, será dado seguimento a vacinação dos demais trabalhadores dos serviços essenciais, conforme descrito no Plano Nacional. </w:t>
      </w:r>
    </w:p>
    <w:p w:rsidR="005600C2" w:rsidRDefault="005A7CE4" w:rsidP="005600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>Porém, de maneira</w:t>
      </w:r>
      <w:r w:rsidR="00FD3A33">
        <w:rPr>
          <w:rFonts w:ascii="Times New Roman" w:hAnsi="Times New Roman" w:cs="Times New Roman"/>
          <w:sz w:val="24"/>
          <w:szCs w:val="24"/>
        </w:rPr>
        <w:t xml:space="preserve"> </w:t>
      </w:r>
      <w:r w:rsidRPr="00443F2B">
        <w:rPr>
          <w:rFonts w:ascii="Times New Roman" w:hAnsi="Times New Roman" w:cs="Times New Roman"/>
          <w:sz w:val="24"/>
          <w:szCs w:val="24"/>
        </w:rPr>
        <w:t xml:space="preserve">concomitante, será iniciada a vacinação da população geral (18 a 59 anos), de maneira escalonada e por faixas etárias decrescentes, até o atendimento total da população brasileira acima de 18 anos. Até o prezado momento, existem quatro vacinas contra a Covid-19 com autorização para uso no Brasil pela Anvisa: duas com autorização para uso emergencial (Sinovac/Butantan e Janssen) e duas com registro definitivo (AstraZeneca/Fiocruz e Pfizer/Wyeth). </w:t>
      </w:r>
    </w:p>
    <w:p w:rsidR="005600C2" w:rsidRDefault="005A7CE4" w:rsidP="005600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As vacinas das farmacêuticas AstraZeneca e Sinovac estão em uso desde o início da Campanha Nacional de Vacinação contra a Covid-19 no país. Nessa perspectiva, este documento trata das diretrizes para a operacionalização da Campanha Municipal de Vacinação contra a Covid-19 no Município de </w:t>
      </w:r>
      <w:r w:rsidR="00FD3A33">
        <w:rPr>
          <w:rFonts w:ascii="Times New Roman" w:hAnsi="Times New Roman" w:cs="Times New Roman"/>
          <w:sz w:val="24"/>
          <w:szCs w:val="24"/>
        </w:rPr>
        <w:t>São Martinho da Serra</w:t>
      </w:r>
      <w:r w:rsidRPr="00443F2B">
        <w:rPr>
          <w:rFonts w:ascii="Times New Roman" w:hAnsi="Times New Roman" w:cs="Times New Roman"/>
          <w:sz w:val="24"/>
          <w:szCs w:val="24"/>
        </w:rPr>
        <w:t xml:space="preserve">/RS, abordando a logística organizacional, recursos humanos e planejamento das fases de vacinação, conforme os grupos prioritários definidos pelo Ministério da Saúde e pela Secretaria Estadual da Saúde. </w:t>
      </w:r>
    </w:p>
    <w:p w:rsidR="005A7CE4" w:rsidRPr="00443F2B" w:rsidRDefault="005A7CE4" w:rsidP="005600C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>Destaca-se que a vacinação é dependente do envio de doses por parte do Ministério da Saúde, via Governo do Estado do Rio Grande do Sul e 4ª Coordenadoria Regional de Saúde. A partir da disponibilidade de vacinas, o Município organizará a programação para aplicação das doses, as quais serão divulgadas em mídias sociais (site, Facebook e Instagram da Prefeitura, rádios e imprensa local e regional) para conhecimento e apreciação da população conforme os grupos prioritários.</w:t>
      </w:r>
    </w:p>
    <w:p w:rsidR="005A7CE4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Pr="00443F2B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lastRenderedPageBreak/>
        <w:t>OBJETIVOS DA VACINAÇÃO OBJETIVO GERAL</w:t>
      </w:r>
    </w:p>
    <w:p w:rsidR="001A3F05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 Redução da morbimortalidade causada pela Covid-19, bem como a manutenção do funcionamento dos serviços de saúde e serviços essenciais. </w:t>
      </w:r>
    </w:p>
    <w:p w:rsidR="005600C2" w:rsidRPr="00443F2B" w:rsidRDefault="005600C2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OBJETIVOS ESPECÍFICOS </w:t>
      </w: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• Preservar o funcionamento dos serviços de saúde; </w:t>
      </w: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• Proteger os indivíduos com maior risco de desenvolver formas graves da doença; </w:t>
      </w: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• Proteger os demais indivíduos vulneráveis aos maiores impactos da pandemia; </w:t>
      </w: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>• Proteger a população geral (18 a 59 anos de idade).</w:t>
      </w: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1BC1" w:rsidRPr="00443F2B" w:rsidRDefault="00AB1BC1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lastRenderedPageBreak/>
        <w:t>OPERACIONALIZAÇÃO PARA A VACINAÇÃO RECURSOS HUMANOS</w:t>
      </w: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 A Secretaria de Saúde do Município de </w:t>
      </w:r>
      <w:r w:rsidR="00FD3A33">
        <w:rPr>
          <w:rFonts w:ascii="Times New Roman" w:hAnsi="Times New Roman" w:cs="Times New Roman"/>
          <w:sz w:val="24"/>
          <w:szCs w:val="24"/>
        </w:rPr>
        <w:t>São Martinho da Serra</w:t>
      </w:r>
      <w:r w:rsidRPr="00443F2B">
        <w:rPr>
          <w:rFonts w:ascii="Times New Roman" w:hAnsi="Times New Roman" w:cs="Times New Roman"/>
          <w:sz w:val="24"/>
          <w:szCs w:val="24"/>
        </w:rPr>
        <w:t xml:space="preserve"> conta com uma equip</w:t>
      </w:r>
      <w:r w:rsidR="00FD3A33">
        <w:rPr>
          <w:rFonts w:ascii="Times New Roman" w:hAnsi="Times New Roman" w:cs="Times New Roman"/>
          <w:sz w:val="24"/>
          <w:szCs w:val="24"/>
        </w:rPr>
        <w:t>e formada por uma enfermeira e uma técnica de enfermagem/vacinadora</w:t>
      </w:r>
      <w:r w:rsidRPr="00443F2B">
        <w:rPr>
          <w:rFonts w:ascii="Times New Roman" w:hAnsi="Times New Roman" w:cs="Times New Roman"/>
          <w:sz w:val="24"/>
          <w:szCs w:val="24"/>
        </w:rPr>
        <w:t xml:space="preserve"> na Sala de Vacinas, as quais realizam a aplicação das doses. Ainda possui equipe auxiliar, composta por uma </w:t>
      </w:r>
      <w:r w:rsidR="00FD3A33">
        <w:rPr>
          <w:rFonts w:ascii="Times New Roman" w:hAnsi="Times New Roman" w:cs="Times New Roman"/>
          <w:sz w:val="24"/>
          <w:szCs w:val="24"/>
        </w:rPr>
        <w:t>enfermeira, acadêmicos do técnico de enfermagem do  Sistema Educacional Galileu (SEG)</w:t>
      </w:r>
      <w:r w:rsidRPr="00443F2B">
        <w:rPr>
          <w:rFonts w:ascii="Times New Roman" w:hAnsi="Times New Roman" w:cs="Times New Roman"/>
          <w:sz w:val="24"/>
          <w:szCs w:val="24"/>
        </w:rPr>
        <w:t xml:space="preserve">, recepcionistas, motoristas e agentes comunitários de saúde. Se necessário e, de acordo com a demanda, poderá ser utilizado um quantitativo maior de recursos humanos. </w:t>
      </w: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LOGÍSTICA DE VACINAÇÃO </w:t>
      </w:r>
    </w:p>
    <w:p w:rsidR="00FD3A33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Ao longo da campanha, a equipe de saúde está realizando a vacinação conforme a disponibilidade de vacinas por grupo prioritário, conforme Plano Nacional de Operacionalização, em local </w:t>
      </w:r>
      <w:r w:rsidR="00FD3A33">
        <w:rPr>
          <w:rFonts w:ascii="Times New Roman" w:hAnsi="Times New Roman" w:cs="Times New Roman"/>
          <w:sz w:val="24"/>
          <w:szCs w:val="24"/>
        </w:rPr>
        <w:t xml:space="preserve">oportuno. A vacinação ocorre no ginásio municipal de esportes e na unidade móvel (quando necessário). A vacinação ocorre sempre aos sábados objetivando alcançar um maior publico de acordo com o previsto em CIB, considerando os critérios dos grupos prioritários. </w:t>
      </w:r>
    </w:p>
    <w:p w:rsidR="001A3F05" w:rsidRPr="00443F2B" w:rsidRDefault="00FD3A33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pacientes acamados, acima de 60 anos de idade ou </w:t>
      </w:r>
      <w:r w:rsidR="005A7CE4" w:rsidRPr="00443F2B">
        <w:rPr>
          <w:rFonts w:ascii="Times New Roman" w:hAnsi="Times New Roman" w:cs="Times New Roman"/>
          <w:sz w:val="24"/>
          <w:szCs w:val="24"/>
        </w:rPr>
        <w:t>com alguma impossibilidade de deslocamento, a equipe vai até a residência para aplicar a vacina. O objetivo é ofertar a melhor logística de vacin</w:t>
      </w:r>
      <w:r>
        <w:rPr>
          <w:rFonts w:ascii="Times New Roman" w:hAnsi="Times New Roman" w:cs="Times New Roman"/>
          <w:sz w:val="24"/>
          <w:szCs w:val="24"/>
        </w:rPr>
        <w:t>ação, tanto para as primeiras quanto para as segundas doses.</w:t>
      </w:r>
      <w:r w:rsidR="005A7CE4" w:rsidRPr="00443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OPERACIONALIZAÇÃO </w:t>
      </w: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>As doses da vacina contra a Covid-19 estão sendo recebidas conforme envio por parte do Ministério da Saúde</w:t>
      </w:r>
      <w:r w:rsidR="00FD3A33" w:rsidRPr="00443F2B">
        <w:rPr>
          <w:rFonts w:ascii="Times New Roman" w:hAnsi="Times New Roman" w:cs="Times New Roman"/>
          <w:sz w:val="24"/>
          <w:szCs w:val="24"/>
        </w:rPr>
        <w:t xml:space="preserve"> via</w:t>
      </w:r>
      <w:r w:rsidRPr="00443F2B">
        <w:rPr>
          <w:rFonts w:ascii="Times New Roman" w:hAnsi="Times New Roman" w:cs="Times New Roman"/>
          <w:sz w:val="24"/>
          <w:szCs w:val="24"/>
        </w:rPr>
        <w:t xml:space="preserve"> Governo do Estado do Rio Grande do Sul e 4ª Coordenadoria Regional de Saúde. Ressalta-se que as doses estão sendo aplicadas conforme recomendação dos Planos, Informes Técnicos, Normativas e Resoluções disponibilizadas pelo Ministério da Saúde e Secretaria Estadual de Saúde. Para comprovação do grupo prioritário, está sendo exigido documento de identificação com foto, CPF e documento comprobatório de pertencimento ao grupo. </w:t>
      </w:r>
    </w:p>
    <w:p w:rsidR="001A3F05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GRUPOS PRIORITÁRIOS E ORDENAMENTO DA VACINAÇÃO </w:t>
      </w:r>
    </w:p>
    <w:p w:rsidR="005A7CE4" w:rsidRPr="00443F2B" w:rsidRDefault="005A7CE4" w:rsidP="001A3F05">
      <w:pPr>
        <w:jc w:val="both"/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>Diante do contexto de recebimento de doses de vacinas contra a Covid-19, e necessidade de seguir as orientações constantes nos Planos Nacional e Estadual de Vacinação, o presente Plano Municipal de Vacinação segue o ordenamento da vacinação constante no Anexo 2, conforme as doses de vacina são disponibilizadas. Ressalta-se que, em caso de mudança nas diretrizes que norteiam e embasam a vacinação em nível nacional e estadual, a ordem de prioridade poderá ser alterada.</w:t>
      </w: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AB1BC1" w:rsidRDefault="00AB1BC1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lastRenderedPageBreak/>
        <w:t xml:space="preserve">REFERÊNCIAS </w:t>
      </w:r>
    </w:p>
    <w:p w:rsidR="001A3F05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1 - Brasil. Ministério da Saúde. PLANO NACIONAL DE OPERACIONALIZAÇÃO DE VACINAÇÃO CONTRA COVID-19, 7ª edição. Disponível em: https://www.gov.br/saude/pt-br/coronavirus/publicacoes-tecnicas/guias-e-planos/planonacional-de-vacinacao-covid-19. Acesso em 16 de julho de 2021. </w:t>
      </w:r>
    </w:p>
    <w:p w:rsidR="001A3F05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2 - Secretaria Estadual da Saúde do Rio Grande do Sul. PLANO ESTADUAL DE VACINAÇÃO CONTRA COVID-19 DO RIO GRANDE DO SUL, versão 7.0. Disponível em: https://coronavirus.rs.gov.br/upload/arquivos/202104/08153225-planoestadual-de-vacinacao-contra-covid19-do-rs-atualizado-em-06-04-2021.pdf. Acesso em 16 de julho de 2021. </w:t>
      </w:r>
    </w:p>
    <w:p w:rsidR="001A3F05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 xml:space="preserve">3 – Brasil. Ministério da Saúde. NOTA TÉCNINCA Nº 2/2021- SECOVID/GAB/SECOVID/MS. Disponível em: https://sei.saude.gov.br/sei/controlador_externo.php?acao=documento_conferir&amp;codigo _verificador=0021464579&amp;codigo_crc=4863F560&amp;hash_download=3cfd43ffbcbac4b0 8f37ce10fc87697b0116fa8bbb63303a6110477124d1d99cd053c45d86c748bfe31764f02 4e1f046f2de39d9289b8534bdbbb87ed5c878df&amp;visualizacao=1&amp;id_orgao_acesso_exte rno=0. Acesso em: 16 de julho de 2021. </w:t>
      </w: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  <w:r w:rsidRPr="00443F2B">
        <w:rPr>
          <w:rFonts w:ascii="Times New Roman" w:hAnsi="Times New Roman" w:cs="Times New Roman"/>
          <w:sz w:val="24"/>
          <w:szCs w:val="24"/>
        </w:rPr>
        <w:t>4 – Brasil. Ministério da Saúde. NOTA TÉCNICA Nº 717/2021- CGPNI/DEIDT/SVS/MS. Disponível em: https://www.gov.br/saude/ptbr/media/pdf/2021/maio/28/sei_ms-0020807492-nota-tecnica-717.pdf. Acesso em 16 de julho de 2021.</w:t>
      </w: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5A7CE4" w:rsidRPr="00443F2B" w:rsidRDefault="005A7CE4" w:rsidP="005A7CE4">
      <w:pPr>
        <w:rPr>
          <w:rFonts w:ascii="Times New Roman" w:hAnsi="Times New Roman" w:cs="Times New Roman"/>
          <w:sz w:val="24"/>
          <w:szCs w:val="24"/>
        </w:rPr>
      </w:pPr>
    </w:p>
    <w:p w:rsidR="00AF31C5" w:rsidRDefault="00AF31C5" w:rsidP="005A7CE4">
      <w:pPr>
        <w:rPr>
          <w:rFonts w:ascii="Times New Roman" w:hAnsi="Times New Roman" w:cs="Times New Roman"/>
          <w:sz w:val="24"/>
          <w:szCs w:val="24"/>
        </w:rPr>
      </w:pPr>
    </w:p>
    <w:p w:rsidR="00AF31C5" w:rsidRDefault="00AF31C5" w:rsidP="005A7CE4">
      <w:pPr>
        <w:rPr>
          <w:rFonts w:ascii="Times New Roman" w:hAnsi="Times New Roman" w:cs="Times New Roman"/>
          <w:sz w:val="24"/>
          <w:szCs w:val="24"/>
        </w:rPr>
      </w:pPr>
    </w:p>
    <w:p w:rsidR="00AF31C5" w:rsidRDefault="00AF31C5" w:rsidP="005A7CE4">
      <w:pPr>
        <w:rPr>
          <w:rFonts w:ascii="Times New Roman" w:hAnsi="Times New Roman" w:cs="Times New Roman"/>
          <w:sz w:val="24"/>
          <w:szCs w:val="24"/>
        </w:rPr>
      </w:pPr>
    </w:p>
    <w:p w:rsidR="00AF31C5" w:rsidRDefault="00AF31C5" w:rsidP="005A7CE4">
      <w:pPr>
        <w:rPr>
          <w:rFonts w:ascii="Times New Roman" w:hAnsi="Times New Roman" w:cs="Times New Roman"/>
          <w:sz w:val="24"/>
          <w:szCs w:val="24"/>
        </w:rPr>
      </w:pPr>
    </w:p>
    <w:p w:rsidR="001A3F05" w:rsidRPr="00AF31C5" w:rsidRDefault="00AF31C5" w:rsidP="00AF31C5">
      <w:pPr>
        <w:widowControl w:val="0"/>
        <w:spacing w:after="0"/>
        <w:rPr>
          <w:rFonts w:ascii="Times New Roman" w:hAnsi="Times New Roman" w:cs="Times New Roman"/>
          <w:sz w:val="20"/>
          <w:szCs w:val="24"/>
        </w:rPr>
      </w:pPr>
      <w:r w:rsidRPr="00AF31C5">
        <w:rPr>
          <w:rFonts w:ascii="Times New Roman" w:hAnsi="Times New Roman" w:cs="Times New Roman"/>
          <w:sz w:val="20"/>
          <w:szCs w:val="24"/>
        </w:rPr>
        <w:lastRenderedPageBreak/>
        <w:t>A</w:t>
      </w:r>
      <w:r w:rsidR="001A3F05" w:rsidRPr="00AF31C5">
        <w:rPr>
          <w:rFonts w:ascii="Times New Roman" w:hAnsi="Times New Roman" w:cs="Times New Roman"/>
          <w:sz w:val="20"/>
          <w:szCs w:val="24"/>
        </w:rPr>
        <w:t xml:space="preserve">NEXO 1 </w:t>
      </w:r>
    </w:p>
    <w:p w:rsidR="005A7CE4" w:rsidRPr="00AF31C5" w:rsidRDefault="001A3F05" w:rsidP="00AF31C5">
      <w:pPr>
        <w:widowControl w:val="0"/>
        <w:spacing w:after="0"/>
        <w:rPr>
          <w:rFonts w:ascii="Times New Roman" w:hAnsi="Times New Roman" w:cs="Times New Roman"/>
          <w:sz w:val="20"/>
          <w:szCs w:val="24"/>
        </w:rPr>
      </w:pPr>
      <w:r w:rsidRPr="00AF31C5">
        <w:rPr>
          <w:rFonts w:ascii="Times New Roman" w:hAnsi="Times New Roman" w:cs="Times New Roman"/>
          <w:sz w:val="20"/>
          <w:szCs w:val="24"/>
        </w:rPr>
        <w:t>Descrição das comorbidades incluídas como prioritárias para vacinação contra a covid-19.</w:t>
      </w:r>
    </w:p>
    <w:tbl>
      <w:tblPr>
        <w:tblStyle w:val="Tabelacomgrade"/>
        <w:tblW w:w="0" w:type="auto"/>
        <w:tblLook w:val="04A0"/>
      </w:tblPr>
      <w:tblGrid>
        <w:gridCol w:w="2660"/>
        <w:gridCol w:w="7513"/>
      </w:tblGrid>
      <w:tr w:rsidR="001A3F05" w:rsidRPr="00AF31C5" w:rsidTr="00AF31C5">
        <w:tc>
          <w:tcPr>
            <w:tcW w:w="2660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Grupo de comorbidades</w:t>
            </w:r>
          </w:p>
        </w:tc>
        <w:tc>
          <w:tcPr>
            <w:tcW w:w="7513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Diabetes mellitus</w:t>
            </w:r>
          </w:p>
        </w:tc>
        <w:tc>
          <w:tcPr>
            <w:tcW w:w="7513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Qualquer indivíduo com diabetes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Pneumopatias crônicas graves</w:t>
            </w:r>
          </w:p>
        </w:tc>
        <w:tc>
          <w:tcPr>
            <w:tcW w:w="7513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Indivíduos com pneumopatias graves incluindo doença pulmonar obstrutiva crônica, fibrose cística, fibroses pulmonares, pneumoconioses, displasia broncopulmonar e asma grave (uso recorrente de corticoides sistêmicos, internação prévia por crise asmática).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Hipertensão Arterial Resistente (HAR)</w:t>
            </w:r>
          </w:p>
        </w:tc>
        <w:tc>
          <w:tcPr>
            <w:tcW w:w="7513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HAR= Quando a pressão arterial (PA) permanece acima das metas recomendadas com o uso de três ou mais antihipertensivos de diferentes classes, em doses máximas preconizadas e toleradas, administradas com frequência, dosagem apropriada e comprovada adesão ou PA controlada em uso de quatro ou mais fármacos anti-hipertensivos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 xml:space="preserve">Hipertensão arterial estágio 3 </w:t>
            </w:r>
          </w:p>
        </w:tc>
        <w:tc>
          <w:tcPr>
            <w:tcW w:w="7513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PA sistólica ≥180mmHg e/ou diastólica ≥110mmHg independente da presença de lesão em órgão-alvo (LOA) ou comorbidade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Hipertensão arterial estágios 1 e 2 com LOA e/ou comorbidade</w:t>
            </w:r>
          </w:p>
        </w:tc>
        <w:tc>
          <w:tcPr>
            <w:tcW w:w="7513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PA sistólica entre 140 e 179mmHg e/ou diastólica entre 90 e 109mmHg na presença de lesão em órgão-alvo (LOA) e/ou comorbidade</w:t>
            </w:r>
          </w:p>
        </w:tc>
      </w:tr>
      <w:tr w:rsidR="001A3F05" w:rsidRPr="00AF31C5" w:rsidTr="00AF31C5">
        <w:tc>
          <w:tcPr>
            <w:tcW w:w="10173" w:type="dxa"/>
            <w:gridSpan w:val="2"/>
          </w:tcPr>
          <w:p w:rsidR="001A3F05" w:rsidRPr="00AF31C5" w:rsidRDefault="001A3F05" w:rsidP="001A3F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b/>
                <w:sz w:val="20"/>
                <w:szCs w:val="20"/>
              </w:rPr>
              <w:t>Doenças cardiovasculares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Insuficiência cardíaca (IC)</w:t>
            </w:r>
          </w:p>
        </w:tc>
        <w:tc>
          <w:tcPr>
            <w:tcW w:w="7513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IC com fração de ejeção reduzida, intermediária ou preservada; em estágios B, C ou D, independente de classe funcional da New York Heart Association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1A3F0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Cor-pulmonale e Hipertensão pulmonar</w:t>
            </w:r>
          </w:p>
        </w:tc>
        <w:tc>
          <w:tcPr>
            <w:tcW w:w="7513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Cor-pulmonale crônico, hipertensão pulmonar primária ou secundária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Cardiopatia hipertensiva</w:t>
            </w:r>
          </w:p>
        </w:tc>
        <w:tc>
          <w:tcPr>
            <w:tcW w:w="7513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Cardiopatia hipertensiva (hipertrofia ventricular esquerda ou dilatação, sobrecarga atrial e ventricular, disfunção diastólica e/ou sistólica, lesões em outros órgãos-alvo)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Síndromes coronarianas</w:t>
            </w:r>
          </w:p>
        </w:tc>
        <w:tc>
          <w:tcPr>
            <w:tcW w:w="7513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Síndromes coronarianas crônicas (Angina Pectoris estável, cardiopatia isquêmica, pós Infarto Agudo do Miocárdio, outras)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Valvopatias</w:t>
            </w:r>
          </w:p>
        </w:tc>
        <w:tc>
          <w:tcPr>
            <w:tcW w:w="7513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Lesões valvares com repercussão hemodinâmica ou sintomática ou com comprometimento miocárdico (estenose ou insuficiência aórtica; estenose ou insuficiência mitral; estenose ou insuficiência pulmonar; estenose ou insuficiência tricúspide, e outras)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Miocardiopatias e Pericardiopatias</w:t>
            </w:r>
          </w:p>
        </w:tc>
        <w:tc>
          <w:tcPr>
            <w:tcW w:w="7513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Miocardiopatias de quaisquer etiologias ou fenótipos; pericardite crônica; cardiopatia reumática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Doenças da Aorta, dos Grandes Vasos e Fístulas arteriovenosas</w:t>
            </w:r>
          </w:p>
        </w:tc>
        <w:tc>
          <w:tcPr>
            <w:tcW w:w="7513" w:type="dxa"/>
          </w:tcPr>
          <w:p w:rsidR="001A3F05" w:rsidRPr="00AF31C5" w:rsidRDefault="00591006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Aneurismas, dissecções, hematomas da aorta e demais grandes vasos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Arritmias cardíacas</w:t>
            </w:r>
          </w:p>
        </w:tc>
        <w:tc>
          <w:tcPr>
            <w:tcW w:w="7513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Arritmias cardíacas com importância clínica e/ou cardiopatia associada (fibrilação e flutter atriais; e outras)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Cardiopatias congênita no adulto</w:t>
            </w:r>
          </w:p>
        </w:tc>
        <w:tc>
          <w:tcPr>
            <w:tcW w:w="7513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Cardiopatias congênitas com repercussão hemodinâmica, crises hipoxêmicas; insuficiência cardíaca; arritmias; comprometimento miocárdico.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Próteses valvares e Dispositivos cardíacos implantados</w:t>
            </w:r>
          </w:p>
        </w:tc>
        <w:tc>
          <w:tcPr>
            <w:tcW w:w="7513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Portadores de próteses valvares biológicas ou mecânicas; e dispositivos cardíacos implantados (marca-passos, cardiodesfibriladores, ressincronizadores, assistência circulatória de média e longa permanência)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Doenças neurológicas crônicas</w:t>
            </w:r>
          </w:p>
        </w:tc>
        <w:tc>
          <w:tcPr>
            <w:tcW w:w="7513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Doença cerebrovascular (acidente vascular cerebral isquêmico ou hemorrágico; ataque isquêmico transitório; demência vascular); doenças neurológicas crônicas que impactem na função respiratória, indivíduos com paralisia cerebral, esclerose múltipla, e condições similares; doenças hereditárias e degenerativas do sistema nervoso ou muscular; deficiência neurológica grave.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Doença renal crônica</w:t>
            </w:r>
          </w:p>
        </w:tc>
        <w:tc>
          <w:tcPr>
            <w:tcW w:w="7513" w:type="dxa"/>
          </w:tcPr>
          <w:p w:rsidR="001A3F05" w:rsidRPr="00AF31C5" w:rsidRDefault="0083444C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rFonts w:ascii="Times New Roman" w:hAnsi="Times New Roman" w:cs="Times New Roman"/>
                <w:sz w:val="20"/>
                <w:szCs w:val="20"/>
              </w:rPr>
              <w:t>Doença renal crônica estágio 3 ou mais (taxa de filtração glomerular &lt; 60 ml/min/1,73 m2) e síndrome nefrótica.</w:t>
            </w:r>
            <w:bookmarkStart w:id="0" w:name="_GoBack"/>
            <w:bookmarkEnd w:id="0"/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DF5480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Imunocomprometidos</w:t>
            </w:r>
          </w:p>
        </w:tc>
        <w:tc>
          <w:tcPr>
            <w:tcW w:w="7513" w:type="dxa"/>
          </w:tcPr>
          <w:p w:rsidR="001A3F05" w:rsidRPr="00AF31C5" w:rsidRDefault="00DF5480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Indivíduos transplantados de órgão sólido ou de medula óssea; pessoas vivendo com HIV; doenças inflamatórias imunomediadas em atividade e em uso de dose de prednisona ou equivalente &gt; 10mg/dia; demais indivíduos em uso de imunossupressores ou com imunodeficiências primárias; pacientes oncológicos que realizaram tratamento quimioterápico ou radioterápico nos últimos 6 meses; neoplasias hematológicas.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6F607A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Hemoglobinopatias graves</w:t>
            </w:r>
          </w:p>
        </w:tc>
        <w:tc>
          <w:tcPr>
            <w:tcW w:w="7513" w:type="dxa"/>
          </w:tcPr>
          <w:p w:rsidR="001A3F05" w:rsidRPr="00AF31C5" w:rsidRDefault="006F607A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Doença falciforme e talassemia maior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0246C7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Obesidade mórbida</w:t>
            </w:r>
          </w:p>
        </w:tc>
        <w:tc>
          <w:tcPr>
            <w:tcW w:w="7513" w:type="dxa"/>
          </w:tcPr>
          <w:p w:rsidR="001A3F05" w:rsidRPr="00AF31C5" w:rsidRDefault="000246C7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Índice de massa corpórea (IMC) ≥ 40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0246C7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Síndrome de down</w:t>
            </w:r>
          </w:p>
        </w:tc>
        <w:tc>
          <w:tcPr>
            <w:tcW w:w="7513" w:type="dxa"/>
          </w:tcPr>
          <w:p w:rsidR="001A3F05" w:rsidRPr="00AF31C5" w:rsidRDefault="000246C7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Trissomia do cromossomo 21</w:t>
            </w:r>
          </w:p>
        </w:tc>
      </w:tr>
      <w:tr w:rsidR="001A3F05" w:rsidRPr="00AF31C5" w:rsidTr="00AF31C5">
        <w:tc>
          <w:tcPr>
            <w:tcW w:w="2660" w:type="dxa"/>
          </w:tcPr>
          <w:p w:rsidR="001A3F05" w:rsidRPr="00AF31C5" w:rsidRDefault="00AF31C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noProof/>
                <w:sz w:val="20"/>
                <w:szCs w:val="20"/>
              </w:rPr>
              <w:pict>
                <v:shape id="_x0000_s1027" type="#_x0000_t202" style="position:absolute;margin-left:-10.1pt;margin-top:22.2pt;width:515.4pt;height:19.4pt;z-index:251660288;mso-position-horizontal-relative:text;mso-position-vertical-relative:text;mso-width-relative:margin;mso-height-relative:margin" strokecolor="white [3212]">
                  <v:textbox>
                    <w:txbxContent>
                      <w:p w:rsidR="00AF31C5" w:rsidRDefault="00904189">
                        <w:r>
                          <w:rPr>
                            <w:sz w:val="18"/>
                          </w:rPr>
                          <w:t>F</w:t>
                        </w:r>
                        <w:r w:rsidRPr="00AF31C5">
                          <w:rPr>
                            <w:sz w:val="18"/>
                          </w:rPr>
                          <w:t>onte: Plano Nacional de Operacionalização da Vacinação contra a covid-19 – 7ª edição</w:t>
                        </w:r>
                      </w:p>
                    </w:txbxContent>
                  </v:textbox>
                </v:shape>
              </w:pict>
            </w:r>
            <w:r w:rsidR="000246C7" w:rsidRPr="00AF31C5">
              <w:rPr>
                <w:sz w:val="20"/>
                <w:szCs w:val="20"/>
              </w:rPr>
              <w:t>Cirrose hepática</w:t>
            </w:r>
          </w:p>
        </w:tc>
        <w:tc>
          <w:tcPr>
            <w:tcW w:w="7513" w:type="dxa"/>
          </w:tcPr>
          <w:p w:rsidR="001A3F05" w:rsidRPr="00AF31C5" w:rsidRDefault="00AF31C5" w:rsidP="005A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31C5">
              <w:rPr>
                <w:sz w:val="20"/>
                <w:szCs w:val="20"/>
              </w:rPr>
              <w:t>Cirrose hepática Child-Pugh A, B ou C</w:t>
            </w:r>
          </w:p>
        </w:tc>
      </w:tr>
    </w:tbl>
    <w:p w:rsidR="00904189" w:rsidRDefault="00904189" w:rsidP="005A7CE4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904189" w:rsidRDefault="00904189" w:rsidP="005A7CE4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904189" w:rsidRPr="00443F2B" w:rsidRDefault="00904189" w:rsidP="005A7C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w:pict>
          <v:shape id="_x0000_s1030" type="#_x0000_t202" style="position:absolute;margin-left:11.45pt;margin-top:-14pt;width:67.6pt;height:17.55pt;z-index:251661312;mso-width-relative:margin;mso-height-relative:margin" strokecolor="white [3212]">
            <v:textbox>
              <w:txbxContent>
                <w:p w:rsidR="00904189" w:rsidRDefault="00904189" w:rsidP="00904189">
                  <w:r>
                    <w:t>ANEXO 02</w:t>
                  </w:r>
                </w:p>
              </w:txbxContent>
            </v:textbox>
          </v:shape>
        </w:pict>
      </w:r>
      <w:r w:rsidR="00AF31C5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6175016" cy="8746435"/>
            <wp:effectExtent l="19050" t="0" r="0" b="0"/>
            <wp:docPr id="1" name="Imagem 0" descr="DESCRICA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CRICA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74452" cy="874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189" w:rsidRPr="00443F2B" w:rsidSect="007E132F">
      <w:footerReference w:type="default" r:id="rId11"/>
      <w:pgSz w:w="11906" w:h="16838"/>
      <w:pgMar w:top="1135" w:right="849" w:bottom="1276" w:left="993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B0F" w:rsidRDefault="00082B0F" w:rsidP="00AF31C5">
      <w:pPr>
        <w:spacing w:after="0" w:line="240" w:lineRule="auto"/>
      </w:pPr>
      <w:r>
        <w:separator/>
      </w:r>
    </w:p>
  </w:endnote>
  <w:endnote w:type="continuationSeparator" w:id="1">
    <w:p w:rsidR="00082B0F" w:rsidRDefault="00082B0F" w:rsidP="00AF3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58409"/>
      <w:docPartObj>
        <w:docPartGallery w:val="Page Numbers (Bottom of Page)"/>
        <w:docPartUnique/>
      </w:docPartObj>
    </w:sdtPr>
    <w:sdtContent>
      <w:p w:rsidR="00AB1BC1" w:rsidRDefault="00AB1BC1">
        <w:pPr>
          <w:pStyle w:val="Rodap"/>
          <w:jc w:val="right"/>
        </w:pPr>
        <w:fldSimple w:instr=" PAGE   \* MERGEFORMAT ">
          <w:r w:rsidR="00851BD6">
            <w:rPr>
              <w:noProof/>
            </w:rPr>
            <w:t>5</w:t>
          </w:r>
        </w:fldSimple>
      </w:p>
    </w:sdtContent>
  </w:sdt>
  <w:p w:rsidR="00904189" w:rsidRDefault="0090418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B0F" w:rsidRDefault="00082B0F" w:rsidP="00AF31C5">
      <w:pPr>
        <w:spacing w:after="0" w:line="240" w:lineRule="auto"/>
      </w:pPr>
      <w:r>
        <w:separator/>
      </w:r>
    </w:p>
  </w:footnote>
  <w:footnote w:type="continuationSeparator" w:id="1">
    <w:p w:rsidR="00082B0F" w:rsidRDefault="00082B0F" w:rsidP="00AF31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5A7CE4"/>
    <w:rsid w:val="000246C7"/>
    <w:rsid w:val="000821CE"/>
    <w:rsid w:val="00082B0F"/>
    <w:rsid w:val="00091128"/>
    <w:rsid w:val="001A3F05"/>
    <w:rsid w:val="00443F2B"/>
    <w:rsid w:val="005543FD"/>
    <w:rsid w:val="005600C2"/>
    <w:rsid w:val="00591006"/>
    <w:rsid w:val="005A7CE4"/>
    <w:rsid w:val="006F607A"/>
    <w:rsid w:val="007E132F"/>
    <w:rsid w:val="0083444C"/>
    <w:rsid w:val="00851BD6"/>
    <w:rsid w:val="00904189"/>
    <w:rsid w:val="00AB1BC1"/>
    <w:rsid w:val="00AF31C5"/>
    <w:rsid w:val="00BB050D"/>
    <w:rsid w:val="00DE233B"/>
    <w:rsid w:val="00DF5480"/>
    <w:rsid w:val="00E26769"/>
    <w:rsid w:val="00FD3A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1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A3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F3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31C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F31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F31C5"/>
  </w:style>
  <w:style w:type="paragraph" w:styleId="Rodap">
    <w:name w:val="footer"/>
    <w:basedOn w:val="Normal"/>
    <w:link w:val="RodapChar"/>
    <w:uiPriority w:val="99"/>
    <w:unhideWhenUsed/>
    <w:rsid w:val="00AF31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F31C5"/>
  </w:style>
  <w:style w:type="paragraph" w:styleId="SemEspaamento">
    <w:name w:val="No Spacing"/>
    <w:link w:val="SemEspaamentoChar"/>
    <w:uiPriority w:val="1"/>
    <w:qFormat/>
    <w:rsid w:val="007E132F"/>
    <w:pPr>
      <w:spacing w:after="0" w:line="240" w:lineRule="auto"/>
    </w:pPr>
    <w:rPr>
      <w:rFonts w:eastAsiaTheme="minorEastAsia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7E132F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1A5C1D6663D4DFE9D7E2E9DA4F5F4B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3A0CAB-8B76-4F2D-A9E1-7F357B9B3D6F}"/>
      </w:docPartPr>
      <w:docPartBody>
        <w:p w:rsidR="00000000" w:rsidRDefault="00BA4140" w:rsidP="00BA4140">
          <w:pPr>
            <w:pStyle w:val="81A5C1D6663D4DFE9D7E2E9DA4F5F4BB"/>
          </w:pPr>
          <w:r>
            <w:rPr>
              <w:rFonts w:asciiTheme="majorHAnsi" w:eastAsiaTheme="majorEastAsia" w:hAnsiTheme="majorHAnsi" w:cstheme="majorBidi"/>
              <w:color w:val="FFFFFF" w:themeColor="background1"/>
              <w:sz w:val="72"/>
              <w:szCs w:val="72"/>
            </w:rPr>
            <w:t>[Digite o título do documento]</w:t>
          </w:r>
        </w:p>
      </w:docPartBody>
    </w:docPart>
    <w:docPart>
      <w:docPartPr>
        <w:name w:val="A08F717E60BF4DB0A6AF57D2E253E0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4F2C4F-17F1-4A34-85B4-CDD96AA567AF}"/>
      </w:docPartPr>
      <w:docPartBody>
        <w:p w:rsidR="00000000" w:rsidRDefault="00BA4140" w:rsidP="00BA4140">
          <w:pPr>
            <w:pStyle w:val="A08F717E60BF4DB0A6AF57D2E253E035"/>
          </w:pPr>
          <w:r>
            <w:rPr>
              <w:rFonts w:asciiTheme="majorHAnsi" w:eastAsiaTheme="majorEastAsia" w:hAnsiTheme="majorHAnsi" w:cstheme="majorBidi"/>
              <w:b/>
              <w:bCs/>
              <w:color w:val="FFFFFF" w:themeColor="background1"/>
              <w:sz w:val="96"/>
              <w:szCs w:val="96"/>
            </w:rPr>
            <w:t>[Ano]</w:t>
          </w:r>
        </w:p>
      </w:docPartBody>
    </w:docPart>
    <w:docPart>
      <w:docPartPr>
        <w:name w:val="084FFAD7829E413B82C4DAC42F8DC1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338F8D-AD9E-4155-9332-526F0EFD66F4}"/>
      </w:docPartPr>
      <w:docPartBody>
        <w:p w:rsidR="00000000" w:rsidRDefault="00BA4140" w:rsidP="00BA4140">
          <w:pPr>
            <w:pStyle w:val="084FFAD7829E413B82C4DAC42F8DC127"/>
          </w:pPr>
          <w:r>
            <w:rPr>
              <w:color w:val="FFFFFF" w:themeColor="background1"/>
            </w:rPr>
            <w:t>[Escolha a data]</w:t>
          </w:r>
        </w:p>
      </w:docPartBody>
    </w:docPart>
    <w:docPart>
      <w:docPartPr>
        <w:name w:val="D104150CF6C3414AAF48065AFDCEE4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810DF3-3631-4A34-8B86-37D1479CE0AE}"/>
      </w:docPartPr>
      <w:docPartBody>
        <w:p w:rsidR="00000000" w:rsidRDefault="00BA4140" w:rsidP="00BA4140">
          <w:pPr>
            <w:pStyle w:val="D104150CF6C3414AAF48065AFDCEE432"/>
          </w:pPr>
          <w:r>
            <w:rPr>
              <w:color w:val="FFFFFF" w:themeColor="background1"/>
            </w:rPr>
            <w:t>[Digite o nome da empresa]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A4140"/>
    <w:rsid w:val="00153047"/>
    <w:rsid w:val="00BA4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45E8616FF5EA41D1BE138D16017EAE9D">
    <w:name w:val="45E8616FF5EA41D1BE138D16017EAE9D"/>
    <w:rsid w:val="00BA4140"/>
  </w:style>
  <w:style w:type="paragraph" w:customStyle="1" w:styleId="F7A695B708384122A5B31AE534A9743C">
    <w:name w:val="F7A695B708384122A5B31AE534A9743C"/>
    <w:rsid w:val="00BA4140"/>
  </w:style>
  <w:style w:type="paragraph" w:customStyle="1" w:styleId="51AE081368DB42ABAE7339CD92522856">
    <w:name w:val="51AE081368DB42ABAE7339CD92522856"/>
    <w:rsid w:val="00BA4140"/>
  </w:style>
  <w:style w:type="paragraph" w:customStyle="1" w:styleId="107DDA8E75DF4A5682E1B2CA462DE087">
    <w:name w:val="107DDA8E75DF4A5682E1B2CA462DE087"/>
    <w:rsid w:val="00BA4140"/>
  </w:style>
  <w:style w:type="paragraph" w:customStyle="1" w:styleId="81A5C1D6663D4DFE9D7E2E9DA4F5F4BB">
    <w:name w:val="81A5C1D6663D4DFE9D7E2E9DA4F5F4BB"/>
    <w:rsid w:val="00BA4140"/>
  </w:style>
  <w:style w:type="paragraph" w:customStyle="1" w:styleId="A08F717E60BF4DB0A6AF57D2E253E035">
    <w:name w:val="A08F717E60BF4DB0A6AF57D2E253E035"/>
    <w:rsid w:val="00BA4140"/>
  </w:style>
  <w:style w:type="paragraph" w:customStyle="1" w:styleId="8BBAD6E377D44CCD860023BB3AF7F59C">
    <w:name w:val="8BBAD6E377D44CCD860023BB3AF7F59C"/>
    <w:rsid w:val="00BA4140"/>
  </w:style>
  <w:style w:type="paragraph" w:customStyle="1" w:styleId="C28183A91FFA49F4AE62530C63BBBC4F">
    <w:name w:val="C28183A91FFA49F4AE62530C63BBBC4F"/>
    <w:rsid w:val="00BA4140"/>
  </w:style>
  <w:style w:type="paragraph" w:customStyle="1" w:styleId="084FFAD7829E413B82C4DAC42F8DC127">
    <w:name w:val="084FFAD7829E413B82C4DAC42F8DC127"/>
    <w:rsid w:val="00BA4140"/>
  </w:style>
  <w:style w:type="paragraph" w:customStyle="1" w:styleId="7FD8966798254C13B5FACB5E1D48147D">
    <w:name w:val="7FD8966798254C13B5FACB5E1D48147D"/>
    <w:rsid w:val="00BA4140"/>
  </w:style>
  <w:style w:type="paragraph" w:customStyle="1" w:styleId="D104150CF6C3414AAF48065AFDCEE432">
    <w:name w:val="D104150CF6C3414AAF48065AFDCEE432"/>
    <w:rsid w:val="00BA4140"/>
  </w:style>
  <w:style w:type="paragraph" w:customStyle="1" w:styleId="BB3A6A96449245B491271BE225FD3FCA">
    <w:name w:val="BB3A6A96449245B491271BE225FD3FCA"/>
    <w:rsid w:val="00BA414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2021-08-23T00:00:00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E6EC56-338E-429F-8315-087F57B64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2454</Words>
  <Characters>13257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MUNICIPAL DE VACINAÇÃO</vt:lpstr>
    </vt:vector>
  </TitlesOfParts>
  <Company>Coordenadora Atenção Basica</Company>
  <LinksUpToDate>false</LinksUpToDate>
  <CharactersWithSpaces>15680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MUNICIPAL DE VACINAÇÃO</dc:title>
  <dc:creator>Usuário</dc:creator>
  <cp:lastModifiedBy>Caroline</cp:lastModifiedBy>
  <cp:revision>3</cp:revision>
  <dcterms:created xsi:type="dcterms:W3CDTF">2021-08-23T16:50:00Z</dcterms:created>
  <dcterms:modified xsi:type="dcterms:W3CDTF">2021-08-23T16:59:00Z</dcterms:modified>
</cp:coreProperties>
</file>